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15"/>
        <w:gridCol w:w="1580"/>
        <w:gridCol w:w="2976"/>
        <w:gridCol w:w="2205"/>
      </w:tblGrid>
      <w:tr w:rsidR="00D009DA" w:rsidTr="00C94CDC">
        <w:trPr>
          <w:trHeight w:val="2722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009DA" w:rsidRDefault="00D009DA" w:rsidP="00D009D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</w:pPr>
            <w:r>
              <w:rPr>
                <w:noProof/>
                <w:sz w:val="48"/>
                <w:szCs w:val="48"/>
                <w:lang w:val="en-TT" w:eastAsia="en-TT"/>
              </w:rPr>
              <w:drawing>
                <wp:inline distT="0" distB="0" distL="0" distR="0" wp14:anchorId="309DA6DB" wp14:editId="2B16E11F">
                  <wp:extent cx="729615" cy="719455"/>
                  <wp:effectExtent l="0" t="0" r="0" b="4445"/>
                  <wp:docPr id="1" name="Picture 1" descr="Description: Description: http://4.bp.blogspot.com/-9id1conkx_k/TlAA2rdsPVI/AAAAAAAAAGM/qYekwzdsBgY/s1600/Coattrinidadtoba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escription: http://4.bp.blogspot.com/-9id1conkx_k/TlAA2rdsPVI/AAAAAAAAAGM/qYekwzdsBgY/s1600/Coattrinidadtoba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9DA" w:rsidRDefault="00D009DA" w:rsidP="00D009DA">
            <w:pPr>
              <w:spacing w:after="0" w:line="240" w:lineRule="auto"/>
              <w:jc w:val="center"/>
              <w:rPr>
                <w:sz w:val="44"/>
                <w:szCs w:val="48"/>
                <w:lang w:eastAsia="en-US"/>
              </w:rPr>
            </w:pPr>
            <w:r>
              <w:rPr>
                <w:sz w:val="44"/>
                <w:szCs w:val="48"/>
                <w:lang w:eastAsia="en-US"/>
              </w:rPr>
              <w:t>Government of Trinidad and Tobago</w:t>
            </w:r>
          </w:p>
          <w:p w:rsidR="00D009DA" w:rsidRDefault="00D009DA" w:rsidP="00D009DA">
            <w:pPr>
              <w:spacing w:after="0" w:line="240" w:lineRule="auto"/>
              <w:jc w:val="center"/>
              <w:rPr>
                <w:b/>
                <w:sz w:val="28"/>
                <w:szCs w:val="32"/>
                <w:u w:val="single"/>
                <w:lang w:eastAsia="en-US"/>
              </w:rPr>
            </w:pPr>
          </w:p>
          <w:p w:rsidR="00D009DA" w:rsidRDefault="00D009DA" w:rsidP="00D009DA">
            <w:pPr>
              <w:spacing w:after="0" w:line="240" w:lineRule="auto"/>
              <w:jc w:val="center"/>
              <w:rPr>
                <w:b/>
                <w:sz w:val="28"/>
                <w:szCs w:val="32"/>
                <w:u w:val="single"/>
                <w:lang w:eastAsia="en-US"/>
              </w:rPr>
            </w:pPr>
            <w:r>
              <w:rPr>
                <w:b/>
                <w:sz w:val="28"/>
                <w:szCs w:val="32"/>
                <w:u w:val="single"/>
                <w:lang w:eastAsia="en-US"/>
              </w:rPr>
              <w:t>JOB DESCRIPTION</w:t>
            </w:r>
          </w:p>
          <w:p w:rsidR="00D009DA" w:rsidRDefault="00D009DA" w:rsidP="00D009DA">
            <w:pPr>
              <w:spacing w:after="0" w:line="240" w:lineRule="auto"/>
              <w:jc w:val="center"/>
              <w:rPr>
                <w:b/>
                <w:sz w:val="28"/>
                <w:szCs w:val="32"/>
                <w:lang w:eastAsia="en-US"/>
              </w:rPr>
            </w:pPr>
            <w:r>
              <w:rPr>
                <w:b/>
                <w:sz w:val="28"/>
                <w:szCs w:val="32"/>
                <w:lang w:eastAsia="en-US"/>
              </w:rPr>
              <w:t>CONTRACTUAL POSITION</w:t>
            </w:r>
          </w:p>
          <w:p w:rsidR="00D009DA" w:rsidRDefault="00D009DA" w:rsidP="00D009D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</w:pP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107F2C">
            <w:pPr>
              <w:spacing w:after="0" w:line="240" w:lineRule="auto"/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  <w:t>JOB TITLE:  COMMUNICATIONS OFFICER</w:t>
            </w:r>
          </w:p>
        </w:tc>
      </w:tr>
      <w:tr w:rsidR="00B71753" w:rsidTr="00C94CDC">
        <w:trPr>
          <w:trHeight w:val="249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JOB SUMMARY: </w:t>
            </w:r>
          </w:p>
        </w:tc>
      </w:tr>
      <w:tr w:rsidR="00B71753" w:rsidTr="00C94CDC">
        <w:trPr>
          <w:trHeight w:val="1212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107F2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The incumbent is required to contribute to the achievement of the communications targets of the </w:t>
            </w:r>
            <w:r w:rsidR="00107F2C">
              <w:rPr>
                <w:rFonts w:ascii="Calibri" w:eastAsia="Calibri" w:hAnsi="Calibri" w:cs="Calibri"/>
                <w:sz w:val="20"/>
                <w:lang w:eastAsia="en-US"/>
              </w:rPr>
              <w:t xml:space="preserve">Elections and Boundaries Commission (The 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>Department</w:t>
            </w:r>
            <w:r w:rsidR="00107F2C">
              <w:rPr>
                <w:rFonts w:ascii="Calibri" w:eastAsia="Calibri" w:hAnsi="Calibri" w:cs="Calibri"/>
                <w:sz w:val="20"/>
                <w:lang w:eastAsia="en-US"/>
              </w:rPr>
              <w:t>)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 xml:space="preserve"> and assist in monitoring their implementation. Duties include coordinating media relations strategies, producing and disseminating materials for communicating information about the Department and its services; coordinating the content of the intranet or external website and the production of a quarterly newsletter; disseminating reports and publications; and maintain an updated database of contacts and an effective communication system within the Department. </w:t>
            </w:r>
            <w:r>
              <w:rPr>
                <w:rFonts w:ascii="Calibri" w:eastAsia="Calibri" w:hAnsi="Calibri" w:cs="Times New Roman"/>
                <w:sz w:val="20"/>
                <w:lang w:eastAsia="en-US"/>
              </w:rPr>
              <w:t>Depending on work assignment, the incumbent will be required to perform duties in one or more of the Communications functional areas.</w:t>
            </w:r>
          </w:p>
        </w:tc>
      </w:tr>
      <w:tr w:rsidR="00B71753" w:rsidTr="00C94CDC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>REPORTS TO: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1753" w:rsidRDefault="00107F2C" w:rsidP="000210EA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Manager</w:t>
            </w:r>
            <w:r w:rsidR="009464FC">
              <w:rPr>
                <w:rFonts w:ascii="Calibri" w:eastAsia="Calibri" w:hAnsi="Calibri" w:cs="Times New Roman"/>
                <w:sz w:val="20"/>
                <w:lang w:eastAsia="en-US"/>
              </w:rPr>
              <w:t>, Communications</w:t>
            </w:r>
            <w:r>
              <w:rPr>
                <w:rFonts w:ascii="Calibri" w:eastAsia="Calibri" w:hAnsi="Calibri" w:cs="Times New Roman"/>
                <w:sz w:val="20"/>
                <w:lang w:eastAsia="en-US"/>
              </w:rPr>
              <w:t xml:space="preserve"> </w:t>
            </w:r>
          </w:p>
        </w:tc>
      </w:tr>
      <w:tr w:rsidR="00B71753" w:rsidTr="00C94CDC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 xml:space="preserve">SUPERVISION GIVEN TO: 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n/a</w:t>
            </w: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>DUTIES AND RESPONSIBILITIES:</w:t>
            </w: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71753" w:rsidRDefault="00B71753" w:rsidP="000210E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  <w:t>Strategy and Measurement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Assists in tracking developments in the Department’s sector nationally and globally.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Participates in the design, organisation and implementation of a creative and effective Marketing/Communications Strategy including content management for the Department’s website ensuring that it is adequately integrated into the Department’s Operations.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Participates in the preparation and execution of programmes geared towards educating and informing the Public.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Conducts research and utilizes other data in the analysis and evaluation of information for the preparation of policy documents, briefs, working papers and presentations.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Assists with relevant research including but not limited to the conduct of interviews to determine the success and outreach of Information Programmes and initiates corrective action as appropriate.</w:t>
            </w:r>
          </w:p>
          <w:p w:rsidR="00B71753" w:rsidRDefault="000E4C85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Assists in identifying stakeholders’ needs and proposes relevant engagement strategies.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Interprets HR policies and procedures to assist clients with queries and concerns.</w:t>
            </w:r>
          </w:p>
          <w:p w:rsidR="000E4C85" w:rsidRDefault="000E4C85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Liaises with Media Services to monitor print and electronic media to keep the Department informed of developments within the Communications environment.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Prepares communications reports, Cabinet/Ministerial Notes, internal notes and other documents.</w:t>
            </w:r>
          </w:p>
          <w:p w:rsidR="00B71753" w:rsidRDefault="00B71753" w:rsidP="000210EA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  <w:p w:rsidR="00B71753" w:rsidRDefault="00B71753" w:rsidP="000210E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  <w:t>Product and Events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Develops and implements marketing, media placement and distribution strategies for the Department.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Assists in the production of literature formats such as booklets, posters, brochures for public outreach and sensitisation.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Assists in the development of information and activities such as health and wellness, safety awareness and other cultural and workplace enhancing projects.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lastRenderedPageBreak/>
              <w:t>Performs day-to-day management of the intranet site through the use of a Content Management System, including design, content and technical functions, to ensure that it is useful for staff and that content is up-to-date, accurate and consistent with the Brand Identity Guide.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Develops and manages internal communication activities which involve, engage and inform all employees, utilising appropriate communication tools.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Prepares, d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evelops, writes and edits content for the intranet, staff newsletter, team briefings, noticeboards and other internal communications channels as well as for </w:t>
            </w:r>
            <w:r>
              <w:rPr>
                <w:rFonts w:ascii="Calibri" w:eastAsia="Calibri" w:hAnsi="Calibri" w:cs="Times New Roman"/>
                <w:sz w:val="20"/>
                <w:lang w:eastAsia="en-US"/>
              </w:rPr>
              <w:t>project briefs.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Maintains and regularly updates a detailed calendar of events for the Department.</w:t>
            </w:r>
          </w:p>
          <w:p w:rsidR="00B71753" w:rsidRDefault="00B71753" w:rsidP="000210EA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  <w:p w:rsidR="00B71753" w:rsidRDefault="00B71753" w:rsidP="000210E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  <w:t>Media and Advertising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Develops a Media Strategy for each announcement, launch or significant media event.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Organises and manages press, radio and television interviews.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Writes a variety of communications (e.g. press releases, personal interest stories, newsletters, etc.) for the purpose of keeping the media and public informed of the activities of the Department.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Coordinates </w:t>
            </w:r>
            <w:r w:rsidR="003F33B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collateral completion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, printing, and distribution of corporate collateral to selected media representatives.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Drafts appropriate responses to adverse publicity.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Undertakes research on current 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digital media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technology and marketing and communications 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trends to improve the Department’s communications.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Monitors national, regional and international news to identify evolving trends and opinions which may impact the work of the Department.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Monitors media scanning databases and redirects any issues to the relevant authorities.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Provides media summaries and alerts on breaking news.</w:t>
            </w:r>
          </w:p>
          <w:p w:rsidR="00B71753" w:rsidRDefault="00B71753" w:rsidP="000210EA">
            <w:pPr>
              <w:spacing w:after="0" w:line="240" w:lineRule="auto"/>
              <w:ind w:left="540" w:hanging="36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</w:p>
          <w:p w:rsidR="00B71753" w:rsidRDefault="00B71753" w:rsidP="000210E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u w:val="single"/>
                <w:lang w:eastAsia="en-US"/>
              </w:rPr>
              <w:t>Stakeholder Engagement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Performs protocol duties for the Department in accordance with established standards to ensure appropriate etiquette is used in interactions with individuals such as dignitaries and officials.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Assists in identifying stakeholders' needs and proposes relevant engagement strategies.</w:t>
            </w:r>
          </w:p>
          <w:p w:rsidR="003F33BC" w:rsidRDefault="003F33BC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Contributes to the implementation of stakeholder engagement strategies including citizen engagement and events management.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Develops, manages and controls procedures for all internal and external correspondence.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Researches and assembles information for members of the public.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Responds to complaints and organisation issues from members of the public.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Distributes relevant educational material on the activities of the Department.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  <w:lang w:eastAsia="en-US"/>
              </w:rPr>
              <w:t>Creates and updates a database/directory of stakeholders’ contact information, profiles and services.</w:t>
            </w:r>
          </w:p>
          <w:p w:rsidR="00B71753" w:rsidRDefault="00B71753" w:rsidP="000210EA">
            <w:pPr>
              <w:numPr>
                <w:ilvl w:val="0"/>
                <w:numId w:val="1"/>
              </w:numPr>
              <w:spacing w:after="0" w:line="240" w:lineRule="auto"/>
              <w:ind w:left="540"/>
              <w:contextualSpacing/>
              <w:jc w:val="both"/>
              <w:rPr>
                <w:rFonts w:ascii="Calibri" w:eastAsia="Calibri" w:hAnsi="Calibri" w:cs="Times New Roman"/>
                <w:sz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lang w:eastAsia="en-US"/>
              </w:rPr>
              <w:t>Performs other related duties as required.</w:t>
            </w: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lastRenderedPageBreak/>
              <w:t>KNOWLEDGE, SKILLS AND ABILITIES</w:t>
            </w:r>
            <w:r w:rsidR="000210EA">
              <w:rPr>
                <w:rFonts w:ascii="Calibri" w:eastAsia="Calibri" w:hAnsi="Calibri" w:cs="Times New Roman"/>
                <w:b/>
                <w:sz w:val="24"/>
                <w:lang w:eastAsia="en-US"/>
              </w:rPr>
              <w:t>:</w:t>
            </w:r>
          </w:p>
        </w:tc>
      </w:tr>
      <w:tr w:rsidR="00B71753" w:rsidTr="00C94CDC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>KNOWLEDGE: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Knowledge of current theories and practices in communications research, planning and strategy, and the role of mass media.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Knowledge of media issues, social marketing theory and practice, communications strategies and implementation and behavioural sciences.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Knowledge of marketing, 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stakeholder engagement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citizen engagement,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advertising, 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public relations,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promotion and other communications methods.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Knowledge of modern techniques of news gathering and release.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Knowledge of </w:t>
            </w:r>
            <w:r w:rsidR="003F33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key Government policies, National Development Strategies and priorities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Some knowledge of the Constitution of The Republic of Trinidad and Tobago;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Some knowledge of the organisational structure of the Government of Trinidad and Tobago;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Knowledge of modern techniques of news gathering/event management.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3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Knowledge of protocol procedures </w:t>
            </w:r>
          </w:p>
        </w:tc>
      </w:tr>
      <w:tr w:rsidR="00B71753" w:rsidTr="00C94CDC">
        <w:trPr>
          <w:trHeight w:val="402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262626"/>
                <w:sz w:val="24"/>
                <w:lang w:eastAsia="en-US"/>
              </w:rPr>
              <w:lastRenderedPageBreak/>
              <w:t>SKILLS AND ABILITIES: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3F33BC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lang w:eastAsia="en-US"/>
              </w:rPr>
              <w:t>Skills in project implementation.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Skill in the use of personal computers.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rPr>
                <w:rFonts w:cstheme="minorHAnsi"/>
                <w:sz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Ability to use e-Government technology platforms.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Ability to use the internet for research purposes.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Ability to plan and organize, and supervise the work of support staff. 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Ability to communicate at a high-level, both orally and in writing.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Ability to establish and maintain effective working relationships with colleagues, members of the media and the public. </w:t>
            </w:r>
          </w:p>
          <w:p w:rsidR="00B71753" w:rsidRDefault="00B71753" w:rsidP="000210EA">
            <w:pPr>
              <w:numPr>
                <w:ilvl w:val="0"/>
                <w:numId w:val="2"/>
              </w:numPr>
              <w:spacing w:after="0" w:line="240" w:lineRule="auto"/>
              <w:ind w:left="42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Proficiency in the use of Microsoft Office Suite </w:t>
            </w: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lang w:eastAsia="en-US"/>
              </w:rPr>
              <w:t>MINIMUM EXPERIENCE AND TRAINING:</w:t>
            </w:r>
          </w:p>
        </w:tc>
      </w:tr>
      <w:tr w:rsidR="00B71753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B71753" w:rsidRDefault="00B71753" w:rsidP="000210EA">
            <w:pPr>
              <w:numPr>
                <w:ilvl w:val="0"/>
                <w:numId w:val="3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Minimum two (2) years’ experience in Communications </w:t>
            </w:r>
            <w:r w:rsidR="003B1C5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or Public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Relations</w:t>
            </w:r>
            <w:r w:rsidR="003B1C5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preferably in the Public Sector.</w:t>
            </w:r>
          </w:p>
          <w:p w:rsidR="00B71753" w:rsidRPr="003B1C55" w:rsidRDefault="00B71753" w:rsidP="000210EA">
            <w:pPr>
              <w:numPr>
                <w:ilvl w:val="0"/>
                <w:numId w:val="3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4"/>
                <w:lang w:eastAsia="en-US"/>
              </w:rPr>
              <w:t xml:space="preserve">Training as evidenced by a recognised University </w:t>
            </w:r>
            <w:r>
              <w:rPr>
                <w:rFonts w:ascii="Calibri" w:eastAsia="Calibri" w:hAnsi="Calibri" w:cs="Calibri"/>
                <w:sz w:val="20"/>
                <w:lang w:eastAsia="en-US"/>
              </w:rPr>
              <w:t>Degree in Communications Studies or a related discipline.</w:t>
            </w:r>
          </w:p>
          <w:p w:rsidR="00A417C5" w:rsidRDefault="003B1C55" w:rsidP="000B4490">
            <w:pPr>
              <w:numPr>
                <w:ilvl w:val="0"/>
                <w:numId w:val="3"/>
              </w:num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lang w:eastAsia="en-US"/>
              </w:rPr>
              <w:t>Any suitable combination of experience and training</w:t>
            </w:r>
          </w:p>
        </w:tc>
      </w:tr>
      <w:tr w:rsidR="00A417C5" w:rsidTr="00C94CDC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417C5" w:rsidRPr="00A417C5" w:rsidRDefault="00A417C5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b/>
                <w:color w:val="000000"/>
                <w:sz w:val="24"/>
                <w:szCs w:val="20"/>
                <w:lang w:eastAsia="en-US"/>
              </w:rPr>
              <w:t>REMUNERATION</w:t>
            </w:r>
            <w:r w:rsidR="00C05C1A">
              <w:rPr>
                <w:rFonts w:ascii="Calibri" w:eastAsia="Calibri" w:hAnsi="Calibri" w:cs="Calibri"/>
                <w:b/>
                <w:color w:val="000000"/>
                <w:sz w:val="24"/>
                <w:szCs w:val="20"/>
                <w:lang w:eastAsia="en-US"/>
              </w:rPr>
              <w:t xml:space="preserve"> &amp; ALLOWANCES</w:t>
            </w:r>
            <w:bookmarkStart w:id="0" w:name="_GoBack"/>
            <w:bookmarkEnd w:id="0"/>
          </w:p>
        </w:tc>
      </w:tr>
      <w:tr w:rsidR="00BE7DBC" w:rsidTr="00C94CDC">
        <w:trPr>
          <w:trHeight w:val="6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(with less than 3 yrs. Service)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$12,700.00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$1,500.00</w:t>
            </w:r>
          </w:p>
          <w:p w:rsidR="00BE7DBC" w:rsidRPr="00C94CDC" w:rsidRDefault="00C94CDC" w:rsidP="00C94CDC">
            <w:pPr>
              <w:spacing w:after="0" w:line="240" w:lineRule="auto"/>
              <w:ind w:left="180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eastAsia="en-US"/>
              </w:rPr>
            </w:pPr>
            <w:r w:rsidRPr="00C94CDC"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eastAsia="en-US"/>
              </w:rPr>
              <w:t>(Monthly Transport Allowance)</w:t>
            </w:r>
          </w:p>
          <w:p w:rsidR="00BE7DBC" w:rsidRPr="00A417C5" w:rsidRDefault="00BE7DBC" w:rsidP="00A417C5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7DBC" w:rsidTr="00C94CDC">
        <w:trPr>
          <w:trHeight w:val="64"/>
        </w:trPr>
        <w:tc>
          <w:tcPr>
            <w:tcW w:w="43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(with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yrs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. a</w:t>
            </w: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nd more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but less than 6 yrs. service)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$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13,050.00</w:t>
            </w:r>
          </w:p>
        </w:tc>
        <w:tc>
          <w:tcPr>
            <w:tcW w:w="2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0"/>
                <w:lang w:eastAsia="en-US"/>
              </w:rPr>
            </w:pPr>
          </w:p>
        </w:tc>
      </w:tr>
      <w:tr w:rsidR="00BE7DBC" w:rsidTr="00C94CDC">
        <w:trPr>
          <w:trHeight w:val="364"/>
        </w:trPr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(with 6 yrs.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</w:t>
            </w:r>
            <w:r w:rsidRPr="00A417C5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nd more service)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C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$ 13,450.00</w:t>
            </w: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C" w:rsidRPr="00A417C5" w:rsidRDefault="00BE7DBC" w:rsidP="00A417C5">
            <w:pPr>
              <w:spacing w:after="0" w:line="240" w:lineRule="auto"/>
              <w:ind w:left="180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0"/>
                <w:lang w:eastAsia="en-US"/>
              </w:rPr>
            </w:pPr>
          </w:p>
        </w:tc>
      </w:tr>
    </w:tbl>
    <w:p w:rsidR="00E059E4" w:rsidRDefault="00C05C1A" w:rsidP="007D0D8B"/>
    <w:sectPr w:rsidR="00E059E4" w:rsidSect="0055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E7F"/>
    <w:multiLevelType w:val="hybridMultilevel"/>
    <w:tmpl w:val="2CF4E29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1225B9"/>
    <w:multiLevelType w:val="hybridMultilevel"/>
    <w:tmpl w:val="EBF2688C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94B75E8"/>
    <w:multiLevelType w:val="hybridMultilevel"/>
    <w:tmpl w:val="A59E1D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B902D2"/>
    <w:multiLevelType w:val="hybridMultilevel"/>
    <w:tmpl w:val="6AC2F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8DD"/>
    <w:multiLevelType w:val="hybridMultilevel"/>
    <w:tmpl w:val="EF7CF25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DA74A1C"/>
    <w:multiLevelType w:val="hybridMultilevel"/>
    <w:tmpl w:val="BB9842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6F9493C"/>
    <w:multiLevelType w:val="hybridMultilevel"/>
    <w:tmpl w:val="716CB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3"/>
    <w:rsid w:val="000210EA"/>
    <w:rsid w:val="00057580"/>
    <w:rsid w:val="000B4490"/>
    <w:rsid w:val="000E4C85"/>
    <w:rsid w:val="00107F2C"/>
    <w:rsid w:val="001A7E56"/>
    <w:rsid w:val="002F5C21"/>
    <w:rsid w:val="00302E83"/>
    <w:rsid w:val="00332019"/>
    <w:rsid w:val="003B1C55"/>
    <w:rsid w:val="003F33BC"/>
    <w:rsid w:val="004E2165"/>
    <w:rsid w:val="00557F3C"/>
    <w:rsid w:val="007007C9"/>
    <w:rsid w:val="0070732A"/>
    <w:rsid w:val="007D0D8B"/>
    <w:rsid w:val="00850A6B"/>
    <w:rsid w:val="008B72F0"/>
    <w:rsid w:val="009464FC"/>
    <w:rsid w:val="009C10DE"/>
    <w:rsid w:val="00A27163"/>
    <w:rsid w:val="00A417C5"/>
    <w:rsid w:val="00A978D1"/>
    <w:rsid w:val="00B31C5F"/>
    <w:rsid w:val="00B71753"/>
    <w:rsid w:val="00BE7DBC"/>
    <w:rsid w:val="00C05C1A"/>
    <w:rsid w:val="00C55937"/>
    <w:rsid w:val="00C94CDC"/>
    <w:rsid w:val="00D009DA"/>
    <w:rsid w:val="00E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B201C6-58BC-49E0-96FD-BB16264F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5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53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0x010100D1A3872BBA89AF46A3C4DE2FC66C34B7</ContentTypeId>
    <SPSDescription xmlns="28BA679B-12FC-44D2-A652-FEF96DDC0E0B" xsi:nil="true"/>
    <Subject0 xmlns="28BA679B-12FC-44D2-A652-FEF96DDC0E0B" xsi:nil="true"/>
    <Date_x0020_of_x0020_publication xmlns="28BA679B-12FC-44D2-A652-FEF96DDC0E0B">2013-01-29T19:23:15+00:00</Date_x0020_of_x0020_publication>
    <TemplateUrl xmlns="28BA679B-12FC-44D2-A652-FEF96DDC0E0B" xsi:nil="true"/>
    <Publisher xmlns="28BA679B-12FC-44D2-A652-FEF96DDC0E0B">MPA</Publisher>
    <_SourceUrl xmlns="http://schemas.microsoft.com/sharepoint/v3" xsi:nil="true"/>
    <Owner xmlns="28BA679B-12FC-44D2-A652-FEF96DDC0E0B">PMCD</Owner>
    <Status xmlns="28BA679B-12FC-44D2-A652-FEF96DDC0E0B" xsi:nil="true"/>
    <Keywords0 xmlns="28BA679B-12FC-44D2-A652-FEF96DDC0E0B" xsi:nil="true"/>
    <xd_ProgID xmlns="28BA679B-12FC-44D2-A652-FEF96DDC0E0B" xsi:nil="true"/>
    <Language xmlns="28BA679B-12FC-44D2-A652-FEF96DDC0E0B">English</Language>
    <Registry_x0020_File_x0020_number xmlns="28BA679B-12FC-44D2-A652-FEF96DDC0E0B" xsi:nil="true"/>
    <Document_x0020_Format xmlns="28BA679B-12FC-44D2-A652-FEF96DDC0E0B">Document</Document_x0020_Format>
    <Order xmlns="http://schemas.microsoft.com/sharepoint/v3" xsi:nil="true"/>
    <_SharedFileIndex xmlns="http://schemas.microsoft.com/sharepoint/v3" xsi:nil="true"/>
    <MetaInfo xmlns="http://schemas.microsoft.com/sharepoint/v3" xsi:nil="true"/>
    <_dlc_DocId xmlns="d14df379-9ebd-427e-a46a-b1bde02af687">PMCDIV-1-1224</_dlc_DocId>
    <_dlc_DocIdUrl xmlns="d14df379-9ebd-427e-a46a-b1bde02af687">
      <Url>https://infolounge.mpa.gov.tt/divisions/PMCD/_layouts/DocIdRedir.aspx?ID=PMCDIV-1-1224</Url>
      <Description>PMCDIV-1-1224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3872BBA89AF46A3C4DE2FC66C34B7" ma:contentTypeVersion="5" ma:contentTypeDescription="Create a new document." ma:contentTypeScope="" ma:versionID="d87dc0c2564b16739a773ce83e06ccaf">
  <xsd:schema xmlns:xsd="http://www.w3.org/2001/XMLSchema" xmlns:xs="http://www.w3.org/2001/XMLSchema" xmlns:p="http://schemas.microsoft.com/office/2006/metadata/properties" xmlns:ns1="http://schemas.microsoft.com/sharepoint/v3" xmlns:ns2="28BA679B-12FC-44D2-A652-FEF96DDC0E0B" xmlns:ns3="d14df379-9ebd-427e-a46a-b1bde02af687" targetNamespace="http://schemas.microsoft.com/office/2006/metadata/properties" ma:root="true" ma:fieldsID="8c2c9d1bf042d88714ad457651581178" ns1:_="" ns2:_="" ns3:_="">
    <xsd:import namespace="http://schemas.microsoft.com/sharepoint/v3"/>
    <xsd:import namespace="28BA679B-12FC-44D2-A652-FEF96DDC0E0B"/>
    <xsd:import namespace="d14df379-9ebd-427e-a46a-b1bde02af68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ubject0" minOccurs="0"/>
                <xsd:element ref="ns2:Keywords0" minOccurs="0"/>
                <xsd:element ref="ns2:Publisher" minOccurs="0"/>
                <xsd:element ref="ns2:Date_x0020_of_x0020_publication" minOccurs="0"/>
                <xsd:element ref="ns2:Status" minOccurs="0"/>
                <xsd:element ref="ns2:Language" minOccurs="0"/>
                <xsd:element ref="ns2:Registry_x0020_File_x0020_number" minOccurs="0"/>
                <xsd:element ref="ns2:Document_x0020_Format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2:TemplateUrl" minOccurs="0"/>
                <xsd:element ref="ns2:xd_ProgID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21" nillable="true" ma:displayName="Source URL" ma:hidden="true" ma:internalName="_SourceUrl">
      <xsd:simpleType>
        <xsd:restriction base="dms:Text"/>
      </xsd:simpleType>
    </xsd:element>
    <xsd:element name="_SharedFileIndex" ma:index="22" nillable="true" ma:displayName="Shared File Index" ma:hidden="true" ma:internalName="_SharedFileIndex">
      <xsd:simpleType>
        <xsd:restriction base="dms:Text"/>
      </xsd:simpleType>
    </xsd:element>
    <xsd:element name="ContentTypeId" ma:index="23" nillable="true" ma:displayName="Content Type ID" ma:hidden="true" ma:internalName="ContentTypeId" ma:readOnly="true">
      <xsd:simpleType>
        <xsd:restriction base="dms:Unknown"/>
      </xsd:simpleType>
    </xsd:element>
    <xsd:element name="ID" ma:index="28" nillable="true" ma:displayName="ID" ma:internalName="ID" ma:readOnly="true">
      <xsd:simpleType>
        <xsd:restriction base="dms:Unknown"/>
      </xsd:simpleType>
    </xsd:element>
    <xsd:element name="Author" ma:index="2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32" nillable="true" ma:displayName="Copy Source" ma:internalName="_CopySource" ma:readOnly="true">
      <xsd:simpleType>
        <xsd:restriction base="dms:Text"/>
      </xsd:simpleType>
    </xsd:element>
    <xsd:element name="_ModerationStatus" ma:index="3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3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4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3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4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4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60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1" nillable="true" ma:displayName="Level" ma:hidden="true" ma:internalName="_Level" ma:readOnly="true">
      <xsd:simpleType>
        <xsd:restriction base="dms:Unknown"/>
      </xsd:simpleType>
    </xsd:element>
    <xsd:element name="_IsCurrentVersion" ma:index="62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65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6" nillable="true" ma:displayName="UI Version" ma:hidden="true" ma:internalName="_UIVersion" ma:readOnly="true">
      <xsd:simpleType>
        <xsd:restriction base="dms:Unknown"/>
      </xsd:simpleType>
    </xsd:element>
    <xsd:element name="_UIVersionString" ma:index="67" nillable="true" ma:displayName="Version" ma:internalName="_UIVersionString" ma:readOnly="true">
      <xsd:simpleType>
        <xsd:restriction base="dms:Text"/>
      </xsd:simpleType>
    </xsd:element>
    <xsd:element name="InstanceID" ma:index="68" nillable="true" ma:displayName="Instance ID" ma:hidden="true" ma:internalName="InstanceID" ma:readOnly="true">
      <xsd:simpleType>
        <xsd:restriction base="dms:Unknown"/>
      </xsd:simpleType>
    </xsd:element>
    <xsd:element name="Order" ma:index="69" nillable="true" ma:displayName="Order" ma:hidden="true" ma:internalName="Order">
      <xsd:simpleType>
        <xsd:restriction base="dms:Number"/>
      </xsd:simpleType>
    </xsd:element>
    <xsd:element name="GUID" ma:index="70" nillable="true" ma:displayName="GUID" ma:hidden="true" ma:internalName="GUID" ma:readOnly="true">
      <xsd:simpleType>
        <xsd:restriction base="dms:Unknown"/>
      </xsd:simpleType>
    </xsd:element>
    <xsd:element name="WorkflowVersion" ma:index="71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2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3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4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679B-12FC-44D2-A652-FEF96DDC0E0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Author" ma:default="PMCD" ma:internalName="Owner">
      <xsd:simpleType>
        <xsd:restriction base="dms:Text">
          <xsd:maxLength value="255"/>
        </xsd:restriction>
      </xsd:simpleType>
    </xsd:element>
    <xsd:element name="SPSDescription" ma:index="9" nillable="true" ma:displayName="Abstract" ma:internalName="SPSDescription">
      <xsd:simpleType>
        <xsd:restriction base="dms:Note">
          <xsd:maxLength value="255"/>
        </xsd:restriction>
      </xsd:simpleType>
    </xsd:element>
    <xsd:element name="Subject0" ma:index="10" nillable="true" ma:displayName="Subject" ma:format="Dropdown" ma:internalName="Subject0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11" nillable="true" ma:displayName="Keywords" ma:internalName="Keywords0">
      <xsd:simpleType>
        <xsd:restriction base="dms:Text">
          <xsd:maxLength value="255"/>
        </xsd:restriction>
      </xsd:simpleType>
    </xsd:element>
    <xsd:element name="Publisher" ma:index="12" nillable="true" ma:displayName="Publisher" ma:default="MPA" ma:internalName="Publisher">
      <xsd:simpleType>
        <xsd:restriction base="dms:Text">
          <xsd:maxLength value="255"/>
        </xsd:restriction>
      </xsd:simpleType>
    </xsd:element>
    <xsd:element name="Date_x0020_of_x0020_publication" ma:index="13" nillable="true" ma:displayName="Date of Publication" ma:default="[today]" ma:format="DateOnly" ma:internalName="Date_x0020_of_x0020_publication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  <xsd:element name="Language" ma:index="15" nillable="true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6" nillable="true" ma:displayName="Registry File No." ma:internalName="Registry_x0020_File_x0020_number">
      <xsd:simpleType>
        <xsd:restriction base="dms:Text">
          <xsd:maxLength value="255"/>
        </xsd:restriction>
      </xsd:simpleType>
    </xsd:element>
    <xsd:element name="Document_x0020_Format" ma:index="17" nillable="true" ma:displayName="Document Format" ma:default="Document" ma:format="Dropdown" ma:internalName="Document_x0020_Format">
      <xsd:simpleType>
        <xsd:restriction base="dms:Choice"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  <xsd:element name="TemplateUrl" ma:index="24" nillable="true" ma:displayName="Template Link" ma:hidden="true" ma:internalName="TemplateUrl">
      <xsd:simpleType>
        <xsd:restriction base="dms:Text"/>
      </xsd:simpleType>
    </xsd:element>
    <xsd:element name="xd_ProgID" ma:index="25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f379-9ebd-427e-a46a-b1bde02af687" elementFormDefault="qualified">
    <xsd:import namespace="http://schemas.microsoft.com/office/2006/documentManagement/types"/>
    <xsd:import namespace="http://schemas.microsoft.com/office/infopath/2007/PartnerControls"/>
    <xsd:element name="_dlc_DocId" ma:index="7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A5363-0373-411A-A51B-0CA7843F6F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3048A9-8933-4936-BBF2-44C2107CF1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BA679B-12FC-44D2-A652-FEF96DDC0E0B"/>
    <ds:schemaRef ds:uri="d14df379-9ebd-427e-a46a-b1bde02af687"/>
  </ds:schemaRefs>
</ds:datastoreItem>
</file>

<file path=customXml/itemProps3.xml><?xml version="1.0" encoding="utf-8"?>
<ds:datastoreItem xmlns:ds="http://schemas.openxmlformats.org/officeDocument/2006/customXml" ds:itemID="{ADA2A7E2-8FAE-4454-B78B-0DBBF0185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C5D84-E931-40F2-827C-7C9B4E98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A679B-12FC-44D2-A652-FEF96DDC0E0B"/>
    <ds:schemaRef ds:uri="d14df379-9ebd-427e-a46a-b1bde02af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Wynold Forde</dc:creator>
  <cp:lastModifiedBy>user</cp:lastModifiedBy>
  <cp:revision>9</cp:revision>
  <dcterms:created xsi:type="dcterms:W3CDTF">2024-04-17T15:32:00Z</dcterms:created>
  <dcterms:modified xsi:type="dcterms:W3CDTF">2024-04-17T16:29:00Z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585e4b37-bf39-4e8f-b93b-8e1334804155</vt:lpwstr>
  </property>
</Properties>
</file>